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2422" w14:textId="660EA536" w:rsidR="00BB5442" w:rsidRDefault="0005630D">
      <w:r>
        <w:t xml:space="preserve">The Vice-President shall assume the duties of President during any absence or upon any inability of the President to </w:t>
      </w:r>
      <w:proofErr w:type="gramStart"/>
      <w:r>
        <w:t>serve, and</w:t>
      </w:r>
      <w:proofErr w:type="gramEnd"/>
      <w:r>
        <w:t xml:space="preserve"> shall perform any duties assigned by the President. This office shall preside over the Awards Committee. In the event the Vice-President cannot serve in the President’s absence, the Executive Board shall appoint a President, pro tempore.</w:t>
      </w:r>
    </w:p>
    <w:sectPr w:rsidR="00BB5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0D"/>
    <w:rsid w:val="0005630D"/>
    <w:rsid w:val="00B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A213"/>
  <w15:chartTrackingRefBased/>
  <w15:docId w15:val="{687CF8D5-2598-4D12-BED0-27703605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Ferrero</dc:creator>
  <cp:keywords/>
  <dc:description/>
  <cp:lastModifiedBy>Stephanie Ferrero</cp:lastModifiedBy>
  <cp:revision>1</cp:revision>
  <dcterms:created xsi:type="dcterms:W3CDTF">2022-11-22T14:46:00Z</dcterms:created>
  <dcterms:modified xsi:type="dcterms:W3CDTF">2022-11-22T14:46:00Z</dcterms:modified>
</cp:coreProperties>
</file>